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99" w:rsidRPr="00FE3416" w:rsidRDefault="00FF1999" w:rsidP="00FF1999">
      <w:pPr>
        <w:spacing w:after="0" w:line="240" w:lineRule="auto"/>
        <w:rPr>
          <w:rFonts w:ascii="Verdana" w:eastAsia="Times New Roman" w:hAnsi="Verdana" w:cs="Times New Roman"/>
          <w:color w:val="000000"/>
          <w:sz w:val="16"/>
          <w:szCs w:val="16"/>
          <w:lang w:eastAsia="ro-RO"/>
        </w:rPr>
      </w:pPr>
      <w:r w:rsidRPr="00FE3416">
        <w:rPr>
          <w:rFonts w:ascii="Verdana" w:eastAsia="Times New Roman" w:hAnsi="Verdana" w:cs="Times New Roman"/>
          <w:b/>
          <w:bCs/>
          <w:color w:val="C00000"/>
          <w:sz w:val="40"/>
          <w:szCs w:val="40"/>
          <w:lang w:eastAsia="ro-RO"/>
        </w:rPr>
        <w:t>Rezultate &amp; Analiza</w:t>
      </w:r>
    </w:p>
    <w:p w:rsidR="00FF1999" w:rsidRPr="00FE3416" w:rsidRDefault="00FF1999" w:rsidP="00FF1999">
      <w:pPr>
        <w:spacing w:after="0" w:line="240" w:lineRule="auto"/>
        <w:rPr>
          <w:rFonts w:ascii="Verdana" w:eastAsia="Times New Roman" w:hAnsi="Verdana" w:cs="Times New Roman"/>
          <w:color w:val="000000"/>
          <w:sz w:val="16"/>
          <w:szCs w:val="16"/>
          <w:lang w:eastAsia="ro-RO"/>
        </w:rPr>
      </w:pPr>
      <w:r w:rsidRPr="00FE3416">
        <w:rPr>
          <w:rFonts w:ascii="Verdana" w:eastAsia="Times New Roman" w:hAnsi="Verdana" w:cs="Times New Roman"/>
          <w:b/>
          <w:bCs/>
          <w:color w:val="C00000"/>
          <w:sz w:val="40"/>
          <w:szCs w:val="40"/>
          <w:lang w:eastAsia="ro-RO"/>
        </w:rPr>
        <w:br/>
      </w:r>
    </w:p>
    <w:p w:rsidR="00FF1999" w:rsidRDefault="00FF1999" w:rsidP="00FF1999">
      <w:pPr>
        <w:rPr>
          <w:rFonts w:ascii="Verdana" w:eastAsia="Times New Roman" w:hAnsi="Verdana" w:cs="Times New Roman"/>
          <w:b/>
          <w:bCs/>
          <w:color w:val="000000"/>
          <w:sz w:val="32"/>
          <w:szCs w:val="32"/>
          <w:lang w:eastAsia="ro-RO"/>
        </w:rPr>
      </w:pPr>
      <w:r w:rsidRPr="00FE3416">
        <w:rPr>
          <w:rFonts w:ascii="Verdana" w:eastAsia="Times New Roman" w:hAnsi="Verdana" w:cs="Times New Roman"/>
          <w:b/>
          <w:bCs/>
          <w:color w:val="000000"/>
          <w:sz w:val="32"/>
          <w:szCs w:val="32"/>
          <w:lang w:eastAsia="ro-RO"/>
        </w:rPr>
        <w:t xml:space="preserve">Sondaj </w:t>
      </w:r>
      <w:r>
        <w:rPr>
          <w:rFonts w:ascii="Verdana" w:eastAsia="Times New Roman" w:hAnsi="Verdana" w:cs="Times New Roman"/>
          <w:b/>
          <w:bCs/>
          <w:color w:val="000000"/>
          <w:sz w:val="32"/>
          <w:szCs w:val="32"/>
          <w:lang w:eastAsia="ro-RO"/>
        </w:rPr>
        <w:t xml:space="preserve">BILANȚ </w:t>
      </w:r>
      <w:r w:rsidRPr="00FE3416">
        <w:rPr>
          <w:rFonts w:ascii="Verdana" w:eastAsia="Times New Roman" w:hAnsi="Verdana" w:cs="Times New Roman"/>
          <w:b/>
          <w:bCs/>
          <w:color w:val="000000"/>
          <w:sz w:val="32"/>
          <w:szCs w:val="32"/>
          <w:lang w:eastAsia="ro-RO"/>
        </w:rPr>
        <w:t>MIGRA</w:t>
      </w:r>
      <w:r>
        <w:rPr>
          <w:rFonts w:ascii="Verdana" w:eastAsia="Times New Roman" w:hAnsi="Verdana" w:cs="Times New Roman"/>
          <w:b/>
          <w:bCs/>
          <w:color w:val="000000"/>
          <w:sz w:val="32"/>
          <w:szCs w:val="32"/>
          <w:lang w:eastAsia="ro-RO"/>
        </w:rPr>
        <w:t>TORIU</w:t>
      </w:r>
    </w:p>
    <w:p w:rsidR="00B9103D" w:rsidRDefault="00B9103D" w:rsidP="00FF1999">
      <w:pPr>
        <w:rPr>
          <w:rFonts w:ascii="Verdana" w:eastAsia="Times New Roman" w:hAnsi="Verdana" w:cs="Times New Roman"/>
          <w:b/>
          <w:bCs/>
          <w:color w:val="000000"/>
          <w:sz w:val="32"/>
          <w:szCs w:val="32"/>
          <w:lang w:eastAsia="ro-RO"/>
        </w:rPr>
      </w:pPr>
    </w:p>
    <w:p w:rsidR="002129CD" w:rsidRDefault="00FF1999" w:rsidP="00B9103D">
      <w:pPr>
        <w:jc w:val="center"/>
        <w:rPr>
          <w:rFonts w:ascii="Verdana" w:eastAsia="Times New Roman" w:hAnsi="Verdana" w:cs="Times New Roman"/>
          <w:b/>
          <w:bCs/>
          <w:color w:val="000000"/>
          <w:sz w:val="32"/>
          <w:lang w:eastAsia="ro-RO"/>
        </w:rPr>
      </w:pPr>
      <w:r w:rsidRPr="00FF1999">
        <w:rPr>
          <w:rFonts w:ascii="Verdana" w:eastAsia="Times New Roman" w:hAnsi="Verdana" w:cs="Times New Roman"/>
          <w:b/>
          <w:bCs/>
          <w:color w:val="000000"/>
          <w:sz w:val="32"/>
          <w:lang w:eastAsia="ro-RO"/>
        </w:rPr>
        <w:drawing>
          <wp:inline distT="0" distB="0" distL="0" distR="0">
            <wp:extent cx="5059680" cy="2438400"/>
            <wp:effectExtent l="19050" t="0" r="266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1999" w:rsidRDefault="00FF1999" w:rsidP="00B9103D">
      <w:pPr>
        <w:jc w:val="both"/>
      </w:pPr>
      <w:r w:rsidRPr="00FF1999">
        <w:rPr>
          <w:lang w:val="vi-VN"/>
        </w:rPr>
        <w:t xml:space="preserve">După părerea majorității, Germania este principala țară către care se îndreaptă refugiații. Există o diferență considerabilă de procente între prima și următoarea variantă de răspuns. Acest lucru evidențiază convingerea majorității, următoarele variante având o  diferență foarte mică de pondere între ele. Diversitatea răspunsurilor a dus la introducerea variantei "alt răspuns". </w:t>
      </w:r>
    </w:p>
    <w:p w:rsidR="00B9103D" w:rsidRPr="00B9103D" w:rsidRDefault="00B9103D" w:rsidP="00B9103D">
      <w:pPr>
        <w:jc w:val="both"/>
      </w:pPr>
    </w:p>
    <w:p w:rsidR="00FF1999" w:rsidRDefault="00FF1999" w:rsidP="00B9103D">
      <w:pPr>
        <w:jc w:val="center"/>
      </w:pPr>
      <w:r w:rsidRPr="00FF1999">
        <w:drawing>
          <wp:inline distT="0" distB="0" distL="0" distR="0">
            <wp:extent cx="5760720" cy="2332828"/>
            <wp:effectExtent l="19050" t="0" r="1143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1999" w:rsidRDefault="00FF1999" w:rsidP="00FF1999"/>
    <w:p w:rsidR="00FF1999" w:rsidRDefault="00FF1999" w:rsidP="00B9103D">
      <w:pPr>
        <w:jc w:val="both"/>
      </w:pPr>
      <w:r w:rsidRPr="00FF1999">
        <w:rPr>
          <w:lang w:val="vi-VN"/>
        </w:rPr>
        <w:t xml:space="preserve">Părerile au fost împărțite, astfel încât a fost nevoie de mai multe variante ținând cont de răspunsurile fiecărui participant la interviu. Cele mai multe răspunsuri au fost favorabile, la diferență de doar 7 procente de cele nefavorabile. </w:t>
      </w:r>
    </w:p>
    <w:p w:rsidR="00FF1999" w:rsidRDefault="00FF1999" w:rsidP="00B9103D">
      <w:pPr>
        <w:jc w:val="center"/>
      </w:pPr>
      <w:r w:rsidRPr="00FF1999">
        <w:lastRenderedPageBreak/>
        <w:drawing>
          <wp:inline distT="0" distB="0" distL="0" distR="0">
            <wp:extent cx="5452110" cy="2430780"/>
            <wp:effectExtent l="19050" t="0" r="1524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1999" w:rsidRDefault="00FF1999" w:rsidP="00FF1999"/>
    <w:p w:rsidR="00FF1999" w:rsidRDefault="00FF1999" w:rsidP="00B9103D">
      <w:pPr>
        <w:jc w:val="both"/>
      </w:pPr>
      <w:r w:rsidRPr="00FF1999">
        <w:rPr>
          <w:lang w:val="vi-VN"/>
        </w:rPr>
        <w:t>Precum ilustrează și studiile, cei mai mulți dintre migranți sunt refugiați. Un procent mai mic demografic  migrează  din cauza  situației materiale precare. Cei mai puțini sunt cei care aleg să își părăsească țara din cauza instabilității politice sau dintr-un alt motiv.</w:t>
      </w:r>
    </w:p>
    <w:p w:rsidR="00B9103D" w:rsidRPr="00B9103D" w:rsidRDefault="00B9103D" w:rsidP="00FF1999"/>
    <w:p w:rsidR="00FF1999" w:rsidRDefault="00FF1999" w:rsidP="00B9103D">
      <w:pPr>
        <w:jc w:val="center"/>
      </w:pPr>
      <w:r w:rsidRPr="00FF1999">
        <w:drawing>
          <wp:inline distT="0" distB="0" distL="0" distR="0">
            <wp:extent cx="5284470" cy="2446020"/>
            <wp:effectExtent l="19050" t="0" r="1143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03D" w:rsidRDefault="00B9103D" w:rsidP="00FF1999"/>
    <w:p w:rsidR="00FF1999" w:rsidRPr="00FF1999" w:rsidRDefault="00FF1999" w:rsidP="00B9103D">
      <w:pPr>
        <w:jc w:val="both"/>
      </w:pPr>
      <w:r w:rsidRPr="00FF1999">
        <w:rPr>
          <w:lang w:val="vi-VN"/>
        </w:rPr>
        <w:t>Peste jumătate dintre persoanele intervievate sunt de părere că procentul activității teroriste este proporțional cu numărul refugiaților care trec granița. Foarte puțini au fost cei care au o părere total opusă și nu învinovățesc refugiații pentru dezastrele provocate de terorism. Mulți sunt și cei care nu sunt convinși de niciuna dintre cele două variante și iau în calcul posibilitatea fiecăreia.</w:t>
      </w:r>
    </w:p>
    <w:p w:rsidR="00FF1999" w:rsidRDefault="00FF1999" w:rsidP="00B9103D">
      <w:pPr>
        <w:jc w:val="center"/>
      </w:pPr>
      <w:r w:rsidRPr="00FF1999">
        <w:lastRenderedPageBreak/>
        <w:drawing>
          <wp:inline distT="0" distB="0" distL="0" distR="0">
            <wp:extent cx="5760720" cy="2430780"/>
            <wp:effectExtent l="19050" t="0" r="11430" b="76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103D" w:rsidRDefault="00B9103D" w:rsidP="00FF1999"/>
    <w:p w:rsidR="00FF1999" w:rsidRDefault="00FF1999" w:rsidP="00B9103D">
      <w:pPr>
        <w:jc w:val="both"/>
      </w:pPr>
      <w:r w:rsidRPr="00FF1999">
        <w:rPr>
          <w:lang w:val="vi-VN"/>
        </w:rPr>
        <w:t>Mu</w:t>
      </w:r>
      <w:r w:rsidRPr="00FF1999">
        <w:rPr>
          <w:lang w:val="en-US"/>
        </w:rPr>
        <w:t>l</w:t>
      </w:r>
      <w:r w:rsidRPr="00FF1999">
        <w:rPr>
          <w:lang w:val="vi-VN"/>
        </w:rPr>
        <w:t xml:space="preserve">ti dintre intervievați se dovedesc a fi foarte atașați de familie și apropiați, astfel încât exclud posibilitatea mutării domiciliului într-o țară străină. O pondere mare o reprezintă și cei care nu doresc să părăsească țara, fie fiindcă nu s-au gândit până acum la această variantă, fie având diferite motive. </w:t>
      </w:r>
      <w:proofErr w:type="gramStart"/>
      <w:r w:rsidRPr="00FF1999">
        <w:rPr>
          <w:lang w:val="en-US"/>
        </w:rPr>
        <w:t>U</w:t>
      </w:r>
      <w:r w:rsidRPr="00FF1999">
        <w:rPr>
          <w:lang w:val="vi-VN"/>
        </w:rPr>
        <w:t>n</w:t>
      </w:r>
      <w:proofErr w:type="gramEnd"/>
      <w:r w:rsidRPr="00FF1999">
        <w:rPr>
          <w:lang w:val="vi-VN"/>
        </w:rPr>
        <w:t xml:space="preserve"> procent de peste 10% îl determină participanții la sondaj al căror unic motiv este dragostea de țara natală.  </w:t>
      </w:r>
    </w:p>
    <w:p w:rsidR="00B9103D" w:rsidRPr="00B9103D" w:rsidRDefault="00B9103D" w:rsidP="00FF1999"/>
    <w:p w:rsidR="00FF1999" w:rsidRDefault="00FF1999" w:rsidP="00B9103D">
      <w:pPr>
        <w:jc w:val="center"/>
      </w:pPr>
      <w:r w:rsidRPr="00FF1999">
        <w:drawing>
          <wp:inline distT="0" distB="0" distL="0" distR="0">
            <wp:extent cx="5463540" cy="2438400"/>
            <wp:effectExtent l="19050" t="0" r="2286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103D" w:rsidRDefault="00B9103D" w:rsidP="00B9103D">
      <w:pPr>
        <w:jc w:val="both"/>
      </w:pPr>
    </w:p>
    <w:p w:rsidR="00FF1999" w:rsidRPr="00FF1999" w:rsidRDefault="00FF1999" w:rsidP="00B9103D">
      <w:pPr>
        <w:jc w:val="both"/>
      </w:pPr>
      <w:r w:rsidRPr="00FF1999">
        <w:rPr>
          <w:lang w:val="vi-VN"/>
        </w:rPr>
        <w:t>Aproape jumătate din eșantion iau în considerare posibilitatea pericolului generat de migrarea oamenilor în Europa. Între următoarele două variante există o diferență procentuală aproape infimă, 26% dintre intervievați afirmând că imigranții nu constituie niciun pericol, restul având o părere contradictorie.</w:t>
      </w:r>
    </w:p>
    <w:p w:rsidR="00B9103D" w:rsidRDefault="00B9103D" w:rsidP="00FF1999">
      <w:pPr>
        <w:widowControl w:val="0"/>
        <w:rPr>
          <w:rFonts w:ascii="Calibri" w:eastAsia="Calibri" w:hAnsi="Calibri" w:cs="Times New Roman"/>
          <w:b/>
        </w:rPr>
      </w:pPr>
    </w:p>
    <w:p w:rsidR="00E577C8" w:rsidRDefault="00E577C8" w:rsidP="00FF1999">
      <w:pPr>
        <w:widowControl w:val="0"/>
        <w:rPr>
          <w:rFonts w:ascii="Calibri" w:eastAsia="Calibri" w:hAnsi="Calibri" w:cs="Times New Roman"/>
          <w:b/>
        </w:rPr>
      </w:pPr>
    </w:p>
    <w:p w:rsidR="00B9103D" w:rsidRDefault="00B9103D" w:rsidP="00FF1999">
      <w:pPr>
        <w:widowControl w:val="0"/>
        <w:rPr>
          <w:rFonts w:ascii="Calibri" w:eastAsia="Calibri" w:hAnsi="Calibri" w:cs="Times New Roman"/>
          <w:b/>
        </w:rPr>
      </w:pPr>
    </w:p>
    <w:p w:rsidR="0042256A" w:rsidRDefault="0042256A" w:rsidP="00FF1999">
      <w:pPr>
        <w:widowControl w:val="0"/>
        <w:rPr>
          <w:rFonts w:ascii="Calibri" w:eastAsia="Calibri" w:hAnsi="Calibri" w:cs="Times New Roman"/>
          <w:b/>
        </w:rPr>
      </w:pPr>
    </w:p>
    <w:p w:rsidR="00FF1999" w:rsidRDefault="00FF1999" w:rsidP="00FF1999">
      <w:pPr>
        <w:widowControl w:val="0"/>
        <w:rPr>
          <w:rFonts w:ascii="Calibri" w:eastAsia="Calibri" w:hAnsi="Calibri" w:cs="Times New Roman"/>
        </w:rPr>
      </w:pPr>
      <w:r w:rsidRPr="00370F5A">
        <w:rPr>
          <w:rFonts w:ascii="Calibri" w:eastAsia="Calibri" w:hAnsi="Calibri" w:cs="Times New Roman"/>
          <w:b/>
        </w:rPr>
        <w:t>Date personale</w:t>
      </w:r>
      <w:r>
        <w:rPr>
          <w:rFonts w:ascii="Calibri" w:eastAsia="Calibri" w:hAnsi="Calibri" w:cs="Times New Roman"/>
        </w:rPr>
        <w:t xml:space="preserve"> (pentru stabilirea eșantionului)</w:t>
      </w:r>
    </w:p>
    <w:p w:rsidR="00FF1999" w:rsidRDefault="00FF1999" w:rsidP="00FF1999">
      <w:pPr>
        <w:widowControl w:val="0"/>
        <w:rPr>
          <w:rFonts w:ascii="Calibri" w:eastAsia="Calibri" w:hAnsi="Calibri" w:cs="Times New Roman"/>
        </w:rPr>
      </w:pPr>
    </w:p>
    <w:p w:rsidR="00FF1999" w:rsidRDefault="00FF1999" w:rsidP="00B9103D">
      <w:pPr>
        <w:widowControl w:val="0"/>
        <w:jc w:val="center"/>
      </w:pPr>
      <w:r w:rsidRPr="00FF1999">
        <w:drawing>
          <wp:inline distT="0" distB="0" distL="0" distR="0">
            <wp:extent cx="4671060" cy="2446020"/>
            <wp:effectExtent l="19050" t="0" r="1524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1999" w:rsidRDefault="00FF1999" w:rsidP="00FF1999">
      <w:pPr>
        <w:rPr>
          <w:rFonts w:ascii="Calibri" w:eastAsia="Calibri" w:hAnsi="Calibri" w:cs="Times New Roman"/>
        </w:rPr>
      </w:pPr>
    </w:p>
    <w:p w:rsidR="00FF1999" w:rsidRDefault="00FF1999" w:rsidP="00B9103D">
      <w:pPr>
        <w:jc w:val="center"/>
      </w:pPr>
      <w:r w:rsidRPr="00FF1999">
        <w:drawing>
          <wp:inline distT="0" distB="0" distL="0" distR="0">
            <wp:extent cx="4754880" cy="2438400"/>
            <wp:effectExtent l="19050" t="0" r="2667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DBC" w:rsidRDefault="00E95DBC" w:rsidP="00B9103D">
      <w:pPr>
        <w:jc w:val="center"/>
      </w:pPr>
    </w:p>
    <w:p w:rsidR="00E95DBC" w:rsidRDefault="00E95DBC" w:rsidP="00B9103D">
      <w:pPr>
        <w:jc w:val="center"/>
      </w:pPr>
    </w:p>
    <w:p w:rsidR="00976BD7" w:rsidRPr="0099190A" w:rsidRDefault="00976BD7" w:rsidP="00976BD7">
      <w:pPr>
        <w:pStyle w:val="NoSpacing"/>
        <w:spacing w:line="276" w:lineRule="auto"/>
        <w:jc w:val="right"/>
        <w:rPr>
          <w:b/>
        </w:rPr>
      </w:pPr>
      <w:r>
        <w:rPr>
          <w:b/>
        </w:rPr>
        <w:t xml:space="preserve">Roxana </w:t>
      </w:r>
      <w:proofErr w:type="spellStart"/>
      <w:r>
        <w:rPr>
          <w:b/>
        </w:rPr>
        <w:t>Florentina</w:t>
      </w:r>
      <w:proofErr w:type="spellEnd"/>
      <w:r>
        <w:rPr>
          <w:b/>
        </w:rPr>
        <w:t xml:space="preserve"> </w:t>
      </w:r>
      <w:proofErr w:type="spellStart"/>
      <w:r>
        <w:rPr>
          <w:b/>
        </w:rPr>
        <w:t>Radu</w:t>
      </w:r>
      <w:proofErr w:type="spellEnd"/>
      <w:r>
        <w:rPr>
          <w:b/>
        </w:rPr>
        <w:t xml:space="preserve">, </w:t>
      </w:r>
      <w:proofErr w:type="spellStart"/>
      <w:r>
        <w:rPr>
          <w:b/>
        </w:rPr>
        <w:t>Bogdan</w:t>
      </w:r>
      <w:proofErr w:type="spellEnd"/>
      <w:r>
        <w:rPr>
          <w:b/>
        </w:rPr>
        <w:t xml:space="preserve"> </w:t>
      </w:r>
      <w:proofErr w:type="spellStart"/>
      <w:r>
        <w:rPr>
          <w:b/>
        </w:rPr>
        <w:t>Amza</w:t>
      </w:r>
      <w:proofErr w:type="spellEnd"/>
      <w:r>
        <w:rPr>
          <w:b/>
        </w:rPr>
        <w:t xml:space="preserve">, </w:t>
      </w:r>
      <w:proofErr w:type="spellStart"/>
      <w:r>
        <w:rPr>
          <w:b/>
        </w:rPr>
        <w:t>Emanuela</w:t>
      </w:r>
      <w:proofErr w:type="spellEnd"/>
      <w:r>
        <w:rPr>
          <w:b/>
        </w:rPr>
        <w:t xml:space="preserve"> </w:t>
      </w:r>
      <w:proofErr w:type="spellStart"/>
      <w:r>
        <w:rPr>
          <w:b/>
        </w:rPr>
        <w:t>Constantin</w:t>
      </w:r>
      <w:proofErr w:type="spellEnd"/>
    </w:p>
    <w:p w:rsidR="00976BD7" w:rsidRPr="0099190A" w:rsidRDefault="00976BD7" w:rsidP="00976BD7">
      <w:pPr>
        <w:pStyle w:val="NoSpacing"/>
        <w:spacing w:line="276" w:lineRule="auto"/>
        <w:rPr>
          <w:b/>
          <w:color w:val="0070C0"/>
        </w:rPr>
      </w:pP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t xml:space="preserve"> </w:t>
      </w:r>
      <w:proofErr w:type="spellStart"/>
      <w:r w:rsidRPr="0099190A">
        <w:rPr>
          <w:b/>
          <w:color w:val="0070C0"/>
        </w:rPr>
        <w:t>Echipa</w:t>
      </w:r>
      <w:proofErr w:type="spellEnd"/>
      <w:r w:rsidRPr="0099190A">
        <w:rPr>
          <w:b/>
          <w:color w:val="0070C0"/>
        </w:rPr>
        <w:t xml:space="preserve"> </w:t>
      </w:r>
      <w:proofErr w:type="spellStart"/>
      <w:r w:rsidRPr="0099190A">
        <w:rPr>
          <w:b/>
          <w:color w:val="0070C0"/>
        </w:rPr>
        <w:t>proiectului</w:t>
      </w:r>
      <w:proofErr w:type="spellEnd"/>
      <w:r w:rsidRPr="0099190A">
        <w:rPr>
          <w:b/>
          <w:color w:val="0070C0"/>
        </w:rPr>
        <w:t xml:space="preserve"> </w:t>
      </w:r>
      <w:proofErr w:type="spellStart"/>
      <w:r w:rsidRPr="0099190A">
        <w:rPr>
          <w:b/>
          <w:color w:val="0070C0"/>
        </w:rPr>
        <w:t>Euroscola</w:t>
      </w:r>
      <w:proofErr w:type="spellEnd"/>
      <w:r w:rsidRPr="0099190A">
        <w:rPr>
          <w:b/>
          <w:color w:val="0070C0"/>
        </w:rPr>
        <w:t xml:space="preserve"> 2016</w:t>
      </w:r>
    </w:p>
    <w:p w:rsidR="00E95DBC" w:rsidRDefault="00E95DBC" w:rsidP="00B9103D">
      <w:pPr>
        <w:jc w:val="center"/>
      </w:pPr>
    </w:p>
    <w:sectPr w:rsidR="00E95DBC" w:rsidSect="00E577C8">
      <w:headerReference w:type="default" r:id="rId15"/>
      <w:footerReference w:type="default" r:id="rId16"/>
      <w:pgSz w:w="11906" w:h="16838"/>
      <w:pgMar w:top="1417" w:right="991"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4C" w:rsidRDefault="0024404C" w:rsidP="0024404C">
      <w:pPr>
        <w:spacing w:after="0" w:line="240" w:lineRule="auto"/>
      </w:pPr>
      <w:r>
        <w:separator/>
      </w:r>
    </w:p>
  </w:endnote>
  <w:endnote w:type="continuationSeparator" w:id="1">
    <w:p w:rsidR="0024404C" w:rsidRDefault="0024404C" w:rsidP="0024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4C" w:rsidRDefault="0024404C" w:rsidP="00E577C8">
    <w:pPr>
      <w:pStyle w:val="Footer"/>
      <w:pBdr>
        <w:top w:val="single" w:sz="4" w:space="1" w:color="A5A5A5"/>
      </w:pBdr>
      <w:jc w:val="center"/>
      <w:rPr>
        <w:color w:val="7F7F7F"/>
      </w:rPr>
    </w:pPr>
    <w:r w:rsidRPr="00A35833">
      <w:rPr>
        <w:rFonts w:ascii="Cambria" w:eastAsia="Times New Roman" w:hAnsi="Cambria"/>
        <w:b/>
        <w:color w:val="002060"/>
        <w:sz w:val="20"/>
        <w:szCs w:val="20"/>
        <w:bdr w:val="none" w:sz="0" w:space="0" w:color="auto" w:frame="1"/>
      </w:rPr>
      <w:t xml:space="preserve">„Criza refugiaților într-o Europă a valorilor"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sidR="00E577C8">
      <w:rPr>
        <w:rFonts w:ascii="Cambria" w:eastAsia="Times New Roman" w:hAnsi="Cambria"/>
        <w:b/>
        <w:color w:val="002060"/>
        <w:sz w:val="20"/>
        <w:szCs w:val="20"/>
        <w:bdr w:val="none" w:sz="0" w:space="0" w:color="auto" w:frame="1"/>
      </w:rPr>
      <w:t xml:space="preserve">               </w:t>
    </w:r>
    <w:r>
      <w:rPr>
        <w:color w:val="7F7F7F"/>
        <w:sz w:val="20"/>
        <w:szCs w:val="20"/>
      </w:rPr>
      <w:t xml:space="preserve"> </w:t>
    </w:r>
    <w:r w:rsidR="00E577C8">
      <w:rPr>
        <w:rFonts w:eastAsia="Times New Roman"/>
        <w:b/>
        <w:color w:val="00B0F0"/>
        <w:sz w:val="20"/>
        <w:szCs w:val="20"/>
        <w:bdr w:val="none" w:sz="0" w:space="0" w:color="auto" w:frame="1"/>
      </w:rPr>
      <w:t xml:space="preserve">11 mai - </w:t>
    </w:r>
    <w:r w:rsidRPr="00A35833">
      <w:rPr>
        <w:rFonts w:eastAsia="Times New Roman"/>
        <w:b/>
        <w:color w:val="00B0F0"/>
        <w:sz w:val="20"/>
        <w:szCs w:val="20"/>
        <w:bdr w:val="none" w:sz="0" w:space="0" w:color="auto" w:frame="1"/>
      </w:rPr>
      <w:t>10 octombrie 2016</w:t>
    </w:r>
  </w:p>
  <w:p w:rsidR="0024404C" w:rsidRDefault="00244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4C" w:rsidRDefault="0024404C" w:rsidP="0024404C">
      <w:pPr>
        <w:spacing w:after="0" w:line="240" w:lineRule="auto"/>
      </w:pPr>
      <w:r>
        <w:separator/>
      </w:r>
    </w:p>
  </w:footnote>
  <w:footnote w:type="continuationSeparator" w:id="1">
    <w:p w:rsidR="0024404C" w:rsidRDefault="0024404C" w:rsidP="00244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6A" w:rsidRDefault="0042256A" w:rsidP="0042256A">
    <w:pPr>
      <w:pStyle w:val="Header"/>
      <w:pBdr>
        <w:bottom w:val="thickThinSmallGap" w:sz="24" w:space="1" w:color="622423"/>
      </w:pBdr>
      <w:jc w:val="center"/>
      <w:rPr>
        <w:rFonts w:ascii="Cambria" w:eastAsia="Times New Roman" w:hAnsi="Cambria"/>
        <w:sz w:val="32"/>
        <w:szCs w:val="32"/>
      </w:rPr>
    </w:pPr>
    <w:r w:rsidRPr="00B025DC">
      <w:rPr>
        <w:rFonts w:ascii="Cambria" w:eastAsia="Times New Roman" w:hAnsi="Cambria"/>
        <w:b/>
        <w:color w:val="00B0F0"/>
        <w:sz w:val="20"/>
        <w:szCs w:val="20"/>
      </w:rPr>
      <w:t xml:space="preserve">EUROSCOLA 2016                             </w:t>
    </w:r>
    <w:r>
      <w:rPr>
        <w:rFonts w:ascii="Cambria" w:eastAsia="Times New Roman" w:hAnsi="Cambria"/>
        <w:b/>
        <w:sz w:val="20"/>
        <w:szCs w:val="20"/>
      </w:rPr>
      <w:t xml:space="preserve">                                                        </w:t>
    </w:r>
    <w:r w:rsidRPr="00B025DC">
      <w:rPr>
        <w:rFonts w:ascii="Cambria" w:eastAsia="Times New Roman" w:hAnsi="Cambria"/>
        <w:b/>
        <w:color w:val="002060"/>
        <w:sz w:val="20"/>
        <w:szCs w:val="20"/>
      </w:rPr>
      <w:t>Col</w:t>
    </w:r>
    <w:r>
      <w:rPr>
        <w:rFonts w:ascii="Cambria" w:eastAsia="Times New Roman" w:hAnsi="Cambria"/>
        <w:b/>
        <w:color w:val="002060"/>
        <w:sz w:val="20"/>
        <w:szCs w:val="20"/>
      </w:rPr>
      <w:t>egiul National "Barbu Stirbei" C</w:t>
    </w:r>
    <w:r w:rsidRPr="00B025DC">
      <w:rPr>
        <w:rFonts w:ascii="Cambria" w:eastAsia="Times New Roman" w:hAnsi="Cambria"/>
        <w:b/>
        <w:color w:val="002060"/>
        <w:sz w:val="20"/>
        <w:szCs w:val="20"/>
      </w:rPr>
      <w:t>alarasi</w:t>
    </w:r>
  </w:p>
  <w:p w:rsidR="0042256A" w:rsidRDefault="00422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8770"/>
    <w:multiLevelType w:val="singleLevel"/>
    <w:tmpl w:val="57C48770"/>
    <w:lvl w:ilvl="0">
      <w:start w:val="1"/>
      <w:numFmt w:val="decimal"/>
      <w:lvlText w:val="%1."/>
      <w:lvlJc w:val="left"/>
      <w:pPr>
        <w:tabs>
          <w:tab w:val="num" w:pos="425"/>
        </w:tabs>
        <w:ind w:left="425" w:hanging="425"/>
      </w:pPr>
      <w:rPr>
        <w:rFonts w:hint="default"/>
      </w:rPr>
    </w:lvl>
  </w:abstractNum>
  <w:abstractNum w:abstractNumId="1">
    <w:nsid w:val="57CF24AC"/>
    <w:multiLevelType w:val="singleLevel"/>
    <w:tmpl w:val="57CF24AC"/>
    <w:lvl w:ilvl="0">
      <w:start w:val="1"/>
      <w:numFmt w:val="lowerLetter"/>
      <w:lvlText w:val="%1)"/>
      <w:lvlJc w:val="left"/>
      <w:pPr>
        <w:tabs>
          <w:tab w:val="num" w:pos="425"/>
        </w:tabs>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7C14"/>
    <w:rsid w:val="00013F6C"/>
    <w:rsid w:val="00077C14"/>
    <w:rsid w:val="002129CD"/>
    <w:rsid w:val="0024404C"/>
    <w:rsid w:val="0042256A"/>
    <w:rsid w:val="00976BD7"/>
    <w:rsid w:val="00B9103D"/>
    <w:rsid w:val="00CD6EE4"/>
    <w:rsid w:val="00E577C8"/>
    <w:rsid w:val="00E95DBC"/>
    <w:rsid w:val="00FF19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99"/>
    <w:rPr>
      <w:rFonts w:ascii="Tahoma" w:hAnsi="Tahoma" w:cs="Tahoma"/>
      <w:sz w:val="16"/>
      <w:szCs w:val="16"/>
    </w:rPr>
  </w:style>
  <w:style w:type="paragraph" w:styleId="NoSpacing">
    <w:name w:val="No Spacing"/>
    <w:uiPriority w:val="1"/>
    <w:qFormat/>
    <w:rsid w:val="00976BD7"/>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24404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04C"/>
  </w:style>
  <w:style w:type="paragraph" w:styleId="Footer">
    <w:name w:val="footer"/>
    <w:basedOn w:val="Normal"/>
    <w:link w:val="FooterChar"/>
    <w:uiPriority w:val="99"/>
    <w:semiHidden/>
    <w:unhideWhenUsed/>
    <w:rsid w:val="0024404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04C"/>
  </w:style>
</w:styles>
</file>

<file path=word/webSettings.xml><?xml version="1.0" encoding="utf-8"?>
<w:webSettings xmlns:r="http://schemas.openxmlformats.org/officeDocument/2006/relationships" xmlns:w="http://schemas.openxmlformats.org/wordprocessingml/2006/main">
  <w:divs>
    <w:div w:id="456608332">
      <w:bodyDiv w:val="1"/>
      <w:marLeft w:val="0"/>
      <w:marRight w:val="0"/>
      <w:marTop w:val="0"/>
      <w:marBottom w:val="0"/>
      <w:divBdr>
        <w:top w:val="none" w:sz="0" w:space="0" w:color="auto"/>
        <w:left w:val="none" w:sz="0" w:space="0" w:color="auto"/>
        <w:bottom w:val="none" w:sz="0" w:space="0" w:color="auto"/>
        <w:right w:val="none" w:sz="0" w:space="0" w:color="auto"/>
      </w:divBdr>
    </w:div>
    <w:div w:id="720521060">
      <w:bodyDiv w:val="1"/>
      <w:marLeft w:val="0"/>
      <w:marRight w:val="0"/>
      <w:marTop w:val="0"/>
      <w:marBottom w:val="0"/>
      <w:divBdr>
        <w:top w:val="none" w:sz="0" w:space="0" w:color="auto"/>
        <w:left w:val="none" w:sz="0" w:space="0" w:color="auto"/>
        <w:bottom w:val="none" w:sz="0" w:space="0" w:color="auto"/>
        <w:right w:val="none" w:sz="0" w:space="0" w:color="auto"/>
      </w:divBdr>
    </w:div>
    <w:div w:id="1010832122">
      <w:bodyDiv w:val="1"/>
      <w:marLeft w:val="0"/>
      <w:marRight w:val="0"/>
      <w:marTop w:val="0"/>
      <w:marBottom w:val="0"/>
      <w:divBdr>
        <w:top w:val="none" w:sz="0" w:space="0" w:color="auto"/>
        <w:left w:val="none" w:sz="0" w:space="0" w:color="auto"/>
        <w:bottom w:val="none" w:sz="0" w:space="0" w:color="auto"/>
        <w:right w:val="none" w:sz="0" w:space="0" w:color="auto"/>
      </w:divBdr>
    </w:div>
    <w:div w:id="1068385147">
      <w:bodyDiv w:val="1"/>
      <w:marLeft w:val="0"/>
      <w:marRight w:val="0"/>
      <w:marTop w:val="0"/>
      <w:marBottom w:val="0"/>
      <w:divBdr>
        <w:top w:val="none" w:sz="0" w:space="0" w:color="auto"/>
        <w:left w:val="none" w:sz="0" w:space="0" w:color="auto"/>
        <w:bottom w:val="none" w:sz="0" w:space="0" w:color="auto"/>
        <w:right w:val="none" w:sz="0" w:space="0" w:color="auto"/>
      </w:divBdr>
    </w:div>
    <w:div w:id="1102989154">
      <w:bodyDiv w:val="1"/>
      <w:marLeft w:val="0"/>
      <w:marRight w:val="0"/>
      <w:marTop w:val="0"/>
      <w:marBottom w:val="0"/>
      <w:divBdr>
        <w:top w:val="none" w:sz="0" w:space="0" w:color="auto"/>
        <w:left w:val="none" w:sz="0" w:space="0" w:color="auto"/>
        <w:bottom w:val="none" w:sz="0" w:space="0" w:color="auto"/>
        <w:right w:val="none" w:sz="0" w:space="0" w:color="auto"/>
      </w:divBdr>
    </w:div>
    <w:div w:id="13277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i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Structura_varst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Bilant%20migratoriu\Rezultate%20&amp;%20Analiza%20Sondaj%20BILANT%20MIGRATORIU\S2_Structura_sex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50" b="1" i="0" u="none" strike="noStrike" baseline="0">
                <a:solidFill>
                  <a:srgbClr val="000000"/>
                </a:solidFill>
                <a:latin typeface="Arial"/>
                <a:ea typeface="Arial"/>
                <a:cs typeface="Arial"/>
              </a:defRPr>
            </a:pPr>
            <a:r>
              <a:rPr lang="vi-VN"/>
              <a:t>1. Care sunt țările către care credeți că se îndreaptă refugiații?</a:t>
            </a:r>
          </a:p>
        </c:rich>
      </c:tx>
      <c:layout>
        <c:manualLayout>
          <c:xMode val="edge"/>
          <c:yMode val="edge"/>
          <c:x val="0.14689562109821019"/>
          <c:y val="3.8611660028982871E-2"/>
        </c:manualLayout>
      </c:layout>
      <c:spPr>
        <a:noFill/>
        <a:ln w="25400">
          <a:noFill/>
        </a:ln>
      </c:spPr>
    </c:title>
    <c:plotArea>
      <c:layout>
        <c:manualLayout>
          <c:layoutTarget val="inner"/>
          <c:xMode val="edge"/>
          <c:yMode val="edge"/>
          <c:x val="0.18222925067442147"/>
          <c:y val="0.35625163079054628"/>
          <c:w val="0.29819331928541681"/>
          <c:h val="0.61875283242568624"/>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Sheet1!$C$2:$I$2</c:f>
              <c:strCache>
                <c:ptCount val="7"/>
                <c:pt idx="0">
                  <c:v>Germania</c:v>
                </c:pt>
                <c:pt idx="1">
                  <c:v>Țările dezvoltate</c:v>
                </c:pt>
                <c:pt idx="2">
                  <c:v>Anglia</c:v>
                </c:pt>
                <c:pt idx="3">
                  <c:v>Franța</c:v>
                </c:pt>
                <c:pt idx="4">
                  <c:v>Spania</c:v>
                </c:pt>
                <c:pt idx="5">
                  <c:v>Italia</c:v>
                </c:pt>
                <c:pt idx="6">
                  <c:v>Alt răspuns</c:v>
                </c:pt>
              </c:strCache>
            </c:strRef>
          </c:cat>
          <c:val>
            <c:numRef>
              <c:f>Sheet1!$C$3:$I$3</c:f>
              <c:numCache>
                <c:formatCode>0%</c:formatCode>
                <c:ptCount val="7"/>
                <c:pt idx="0">
                  <c:v>0.34</c:v>
                </c:pt>
                <c:pt idx="1">
                  <c:v>0.14000000000000001</c:v>
                </c:pt>
                <c:pt idx="2">
                  <c:v>0.14000000000000001</c:v>
                </c:pt>
                <c:pt idx="3">
                  <c:v>0.14000000000000001</c:v>
                </c:pt>
                <c:pt idx="4">
                  <c:v>0.08</c:v>
                </c:pt>
                <c:pt idx="5">
                  <c:v>0.09</c:v>
                </c:pt>
                <c:pt idx="6">
                  <c:v>7.0000000000000007E-2</c:v>
                </c:pt>
              </c:numCache>
            </c:numRef>
          </c:val>
        </c:ser>
        <c:firstSliceAng val="0"/>
      </c:pieChart>
      <c:spPr>
        <a:noFill/>
        <a:ln w="25400">
          <a:noFill/>
        </a:ln>
      </c:spPr>
    </c:plotArea>
    <c:legend>
      <c:legendPos val="r"/>
      <c:layout>
        <c:manualLayout>
          <c:xMode val="edge"/>
          <c:yMode val="edge"/>
          <c:x val="0.67470003555488334"/>
          <c:y val="0.35312661648536597"/>
          <c:w val="0.25903662079339229"/>
          <c:h val="0.61875283242568624"/>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540" b="1" i="0" u="none" strike="noStrike" baseline="0">
                <a:solidFill>
                  <a:srgbClr val="000000"/>
                </a:solidFill>
                <a:latin typeface="Arial"/>
                <a:ea typeface="Arial"/>
                <a:cs typeface="Arial"/>
              </a:defRPr>
            </a:pPr>
            <a:r>
              <a:rPr lang="ro-RO"/>
              <a:t>2. CARE ESTE PĂREREA DUMNEAVOASTRĂ DESPRE REFUGIAȚI?</a:t>
            </a:r>
          </a:p>
        </c:rich>
      </c:tx>
      <c:layout>
        <c:manualLayout>
          <c:xMode val="edge"/>
          <c:yMode val="edge"/>
          <c:x val="0.17292389709257208"/>
          <c:y val="3.932596405841151E-2"/>
        </c:manualLayout>
      </c:layout>
      <c:spPr>
        <a:noFill/>
        <a:ln w="25400">
          <a:noFill/>
        </a:ln>
      </c:spPr>
    </c:title>
    <c:plotArea>
      <c:layout>
        <c:manualLayout>
          <c:layoutTarget val="inner"/>
          <c:xMode val="edge"/>
          <c:yMode val="edge"/>
          <c:x val="0.27076241781600086"/>
          <c:y val="0.3511246790929603"/>
          <c:w val="0.22184315745428645"/>
          <c:h val="0.54775449938501763"/>
        </c:manualLayout>
      </c:layout>
      <c:pieChart>
        <c:varyColors val="1"/>
        <c:ser>
          <c:idx val="0"/>
          <c:order val="0"/>
          <c:spPr>
            <a:solidFill>
              <a:srgbClr val="4F81BD"/>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130" b="0" i="0" u="none" strike="noStrike" baseline="0">
                    <a:solidFill>
                      <a:srgbClr val="000000"/>
                    </a:solidFill>
                    <a:latin typeface="Arial"/>
                    <a:ea typeface="Arial"/>
                    <a:cs typeface="Arial"/>
                  </a:defRPr>
                </a:pPr>
                <a:endParaRPr lang="ro-RO"/>
              </a:p>
            </c:txPr>
            <c:dLblPos val="ctr"/>
            <c:showPercent val="1"/>
          </c:dLbls>
          <c:cat>
            <c:strRef>
              <c:f>intrebare_2!$C$2:$F$2</c:f>
              <c:strCache>
                <c:ptCount val="4"/>
                <c:pt idx="0">
                  <c:v>nefavorabilă </c:v>
                </c:pt>
                <c:pt idx="1">
                  <c:v>favorabilă </c:v>
                </c:pt>
                <c:pt idx="2">
                  <c:v>mă abțin / nu știu</c:v>
                </c:pt>
                <c:pt idx="3">
                  <c:v>favorabilă condiționat             (trebuie controlați)</c:v>
                </c:pt>
              </c:strCache>
            </c:strRef>
          </c:cat>
          <c:val>
            <c:numRef>
              <c:f>intrebare_2!$C$7:$F$7</c:f>
              <c:numCache>
                <c:formatCode>General</c:formatCode>
                <c:ptCount val="4"/>
                <c:pt idx="0">
                  <c:v>0.32999999999999996</c:v>
                </c:pt>
                <c:pt idx="1">
                  <c:v>0.39999999999999997</c:v>
                </c:pt>
                <c:pt idx="2">
                  <c:v>0.17</c:v>
                </c:pt>
                <c:pt idx="3">
                  <c:v>0.1</c:v>
                </c:pt>
              </c:numCache>
            </c:numRef>
          </c:val>
        </c:ser>
        <c:firstSliceAng val="0"/>
      </c:pieChart>
      <c:spPr>
        <a:noFill/>
        <a:ln w="25400">
          <a:noFill/>
        </a:ln>
      </c:spPr>
    </c:plotArea>
    <c:legend>
      <c:legendPos val="r"/>
      <c:legendEntry>
        <c:idx val="0"/>
        <c:txPr>
          <a:bodyPr/>
          <a:lstStyle/>
          <a:p>
            <a:pPr>
              <a:defRPr sz="975" b="0" i="0" u="none" strike="noStrike" baseline="0">
                <a:solidFill>
                  <a:srgbClr val="000000"/>
                </a:solidFill>
                <a:latin typeface="Arial"/>
                <a:ea typeface="Arial"/>
                <a:cs typeface="Arial"/>
              </a:defRPr>
            </a:pPr>
            <a:endParaRPr lang="ro-RO"/>
          </a:p>
        </c:txPr>
      </c:legendEntry>
      <c:legendEntry>
        <c:idx val="1"/>
        <c:txPr>
          <a:bodyPr/>
          <a:lstStyle/>
          <a:p>
            <a:pPr>
              <a:defRPr sz="975" b="0" i="0" u="none" strike="noStrike" baseline="0">
                <a:solidFill>
                  <a:srgbClr val="000000"/>
                </a:solidFill>
                <a:latin typeface="Arial"/>
                <a:ea typeface="Arial"/>
                <a:cs typeface="Arial"/>
              </a:defRPr>
            </a:pPr>
            <a:endParaRPr lang="ro-RO"/>
          </a:p>
        </c:txPr>
      </c:legendEntry>
      <c:legendEntry>
        <c:idx val="2"/>
        <c:txPr>
          <a:bodyPr/>
          <a:lstStyle/>
          <a:p>
            <a:pPr>
              <a:defRPr sz="975" b="0" i="0" u="none" strike="noStrike" baseline="0">
                <a:solidFill>
                  <a:srgbClr val="000000"/>
                </a:solidFill>
                <a:latin typeface="Arial"/>
                <a:ea typeface="Arial"/>
                <a:cs typeface="Arial"/>
              </a:defRPr>
            </a:pPr>
            <a:endParaRPr lang="ro-RO"/>
          </a:p>
        </c:txPr>
      </c:legendEntry>
      <c:legendEntry>
        <c:idx val="3"/>
        <c:txPr>
          <a:bodyPr/>
          <a:lstStyle/>
          <a:p>
            <a:pPr>
              <a:defRPr sz="975" b="0" i="0" u="none" strike="noStrike" baseline="0">
                <a:solidFill>
                  <a:srgbClr val="000000"/>
                </a:solidFill>
                <a:latin typeface="Arial"/>
                <a:ea typeface="Arial"/>
                <a:cs typeface="Arial"/>
              </a:defRPr>
            </a:pPr>
            <a:endParaRPr lang="ro-RO"/>
          </a:p>
        </c:txPr>
      </c:legendEntry>
      <c:layout>
        <c:manualLayout>
          <c:xMode val="edge"/>
          <c:yMode val="edge"/>
          <c:x val="0.64505164244400293"/>
          <c:y val="0.32865269963101063"/>
          <c:w val="0.29237790495257265"/>
          <c:h val="0.57022647884696642"/>
        </c:manualLayout>
      </c:layout>
      <c:spPr>
        <a:solidFill>
          <a:srgbClr val="FFFFFF"/>
        </a:solidFill>
        <a:ln w="25400">
          <a:noFill/>
        </a:ln>
      </c:spPr>
      <c:txPr>
        <a:bodyPr/>
        <a:lstStyle/>
        <a:p>
          <a:pPr>
            <a:defRPr sz="97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155" b="0"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50" b="1" i="0" u="none" strike="noStrike" baseline="0">
                <a:solidFill>
                  <a:srgbClr val="000000"/>
                </a:solidFill>
                <a:latin typeface="Arial"/>
                <a:ea typeface="Arial"/>
                <a:cs typeface="Arial"/>
              </a:defRPr>
            </a:pPr>
            <a:r>
              <a:rPr lang="vi-VN"/>
              <a:t>3.Care considerați că este motivul principal al migrației?</a:t>
            </a:r>
          </a:p>
        </c:rich>
      </c:tx>
      <c:layout>
        <c:manualLayout>
          <c:xMode val="edge"/>
          <c:yMode val="edge"/>
          <c:x val="0.12318844938450006"/>
          <c:y val="4.0752507042986552E-2"/>
        </c:manualLayout>
      </c:layout>
      <c:spPr>
        <a:noFill/>
        <a:ln w="25400">
          <a:noFill/>
        </a:ln>
      </c:spPr>
    </c:title>
    <c:plotArea>
      <c:layout>
        <c:manualLayout>
          <c:layoutTarget val="inner"/>
          <c:xMode val="edge"/>
          <c:yMode val="edge"/>
          <c:x val="0.23333341589299439"/>
          <c:y val="0.35423333045057487"/>
          <c:w val="0.28260879564679431"/>
          <c:h val="0.61128760564479812"/>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ro-RO"/>
              </a:p>
            </c:txPr>
            <c:dLblPos val="ctr"/>
            <c:showPercent val="1"/>
          </c:dLbls>
          <c:cat>
            <c:strRef>
              <c:f>Sheet1!$C$3:$G$3</c:f>
              <c:strCache>
                <c:ptCount val="5"/>
                <c:pt idx="0">
                  <c:v>Războiul</c:v>
                </c:pt>
                <c:pt idx="1">
                  <c:v>Sărăcia</c:v>
                </c:pt>
                <c:pt idx="2">
                  <c:v>Instabilitate economică</c:v>
                </c:pt>
                <c:pt idx="3">
                  <c:v>Instabilitate politică</c:v>
                </c:pt>
                <c:pt idx="4">
                  <c:v>Alt răspuns</c:v>
                </c:pt>
              </c:strCache>
            </c:strRef>
          </c:cat>
          <c:val>
            <c:numRef>
              <c:f>Sheet1!$C$4:$G$4</c:f>
              <c:numCache>
                <c:formatCode>0.00%</c:formatCode>
                <c:ptCount val="5"/>
                <c:pt idx="0" formatCode="0%">
                  <c:v>0.42</c:v>
                </c:pt>
                <c:pt idx="1">
                  <c:v>0.28999999999999998</c:v>
                </c:pt>
                <c:pt idx="2" formatCode="0%">
                  <c:v>0.12</c:v>
                </c:pt>
                <c:pt idx="3" formatCode="0%">
                  <c:v>0.1</c:v>
                </c:pt>
                <c:pt idx="4" formatCode="0%">
                  <c:v>7.0000000000000007E-2</c:v>
                </c:pt>
              </c:numCache>
            </c:numRef>
          </c:val>
        </c:ser>
        <c:firstSliceAng val="0"/>
      </c:pieChart>
      <c:spPr>
        <a:noFill/>
        <a:ln w="25400">
          <a:noFill/>
        </a:ln>
      </c:spPr>
    </c:plotArea>
    <c:legend>
      <c:legendPos val="r"/>
      <c:layout>
        <c:manualLayout>
          <c:xMode val="edge"/>
          <c:yMode val="edge"/>
          <c:x val="0.662319074926077"/>
          <c:y val="0.23511061755569143"/>
          <c:w val="0.18550731201430604"/>
          <c:h val="0.74921916794413679"/>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50" b="1" i="0" u="none" strike="noStrike" baseline="0">
                <a:solidFill>
                  <a:srgbClr val="000000"/>
                </a:solidFill>
                <a:latin typeface="Arial"/>
                <a:ea typeface="Arial"/>
                <a:cs typeface="Arial"/>
              </a:defRPr>
            </a:pPr>
            <a:r>
              <a:rPr lang="vi-VN"/>
              <a:t>4. Considerați că venirea refugiaților este o cauză a intensificării activității teroriste?</a:t>
            </a:r>
          </a:p>
        </c:rich>
      </c:tx>
      <c:layout>
        <c:manualLayout>
          <c:xMode val="edge"/>
          <c:yMode val="edge"/>
          <c:x val="0.13602404039235524"/>
          <c:y val="4.049865797998041E-2"/>
        </c:manualLayout>
      </c:layout>
      <c:spPr>
        <a:noFill/>
        <a:ln w="25400">
          <a:noFill/>
        </a:ln>
      </c:spPr>
    </c:title>
    <c:plotArea>
      <c:layout>
        <c:manualLayout>
          <c:layoutTarget val="inner"/>
          <c:xMode val="edge"/>
          <c:yMode val="edge"/>
          <c:x val="0.20029913640192976"/>
          <c:y val="0.336450389372145"/>
          <c:w val="0.30941732265074212"/>
          <c:h val="0.6448632462966106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940" b="0" i="0" u="none" strike="noStrike" baseline="0">
                    <a:solidFill>
                      <a:srgbClr val="000000"/>
                    </a:solidFill>
                    <a:latin typeface="Arial"/>
                    <a:ea typeface="Arial"/>
                    <a:cs typeface="Arial"/>
                  </a:defRPr>
                </a:pPr>
                <a:endParaRPr lang="ro-RO"/>
              </a:p>
            </c:txPr>
            <c:dLblPos val="ctr"/>
            <c:showPercent val="1"/>
          </c:dLbls>
          <c:cat>
            <c:strRef>
              <c:f>Sheet1!$C$2:$E$2</c:f>
              <c:strCache>
                <c:ptCount val="3"/>
                <c:pt idx="0">
                  <c:v>DA</c:v>
                </c:pt>
                <c:pt idx="1">
                  <c:v>NU</c:v>
                </c:pt>
                <c:pt idx="2">
                  <c:v>Poate / Nu știu</c:v>
                </c:pt>
              </c:strCache>
            </c:strRef>
          </c:cat>
          <c:val>
            <c:numRef>
              <c:f>Sheet1!$C$3:$E$3</c:f>
              <c:numCache>
                <c:formatCode>0.00%</c:formatCode>
                <c:ptCount val="3"/>
                <c:pt idx="0">
                  <c:v>0.56100000000000005</c:v>
                </c:pt>
                <c:pt idx="1">
                  <c:v>0.12300000000000001</c:v>
                </c:pt>
                <c:pt idx="2">
                  <c:v>0.316</c:v>
                </c:pt>
              </c:numCache>
            </c:numRef>
          </c:val>
        </c:ser>
        <c:firstSliceAng val="0"/>
      </c:pieChart>
      <c:spPr>
        <a:noFill/>
        <a:ln w="25400">
          <a:noFill/>
        </a:ln>
      </c:spPr>
    </c:plotArea>
    <c:legend>
      <c:legendPos val="r"/>
      <c:layout>
        <c:manualLayout>
          <c:xMode val="edge"/>
          <c:yMode val="edge"/>
          <c:x val="0.65171957814359249"/>
          <c:y val="0.4454852377797841"/>
          <c:w val="0.23617360859331987"/>
          <c:h val="0.39875601703365304"/>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30" b="1" i="0" u="none" strike="noStrike" baseline="0">
                <a:solidFill>
                  <a:srgbClr val="000000"/>
                </a:solidFill>
                <a:latin typeface="Arial"/>
                <a:ea typeface="Arial"/>
                <a:cs typeface="Arial"/>
              </a:defRPr>
            </a:pPr>
            <a:r>
              <a:rPr lang="vi-VN"/>
              <a:t> 5.Ce v-ar opri în ceea ce privește migrarea într-o țară străină?</a:t>
            </a:r>
          </a:p>
        </c:rich>
      </c:tx>
      <c:layout>
        <c:manualLayout>
          <c:xMode val="edge"/>
          <c:yMode val="edge"/>
          <c:x val="0.13730760338895462"/>
          <c:y val="3.8611660028982871E-2"/>
        </c:manualLayout>
      </c:layout>
      <c:spPr>
        <a:noFill/>
        <a:ln w="25400">
          <a:noFill/>
        </a:ln>
      </c:spPr>
    </c:title>
    <c:plotArea>
      <c:layout>
        <c:manualLayout>
          <c:layoutTarget val="inner"/>
          <c:xMode val="edge"/>
          <c:yMode val="edge"/>
          <c:x val="0.21079979839997737"/>
          <c:y val="0.20000091553153471"/>
          <c:w val="0.25129828183642611"/>
          <c:h val="0.7562534618536155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Sheet1!$C$3:$G$3</c:f>
              <c:strCache>
                <c:ptCount val="5"/>
                <c:pt idx="0">
                  <c:v>Familia/ apropiații</c:v>
                </c:pt>
                <c:pt idx="1">
                  <c:v>Patriotismul</c:v>
                </c:pt>
                <c:pt idx="2">
                  <c:v>Barierele lingvistice/ sociale/ ideologice</c:v>
                </c:pt>
                <c:pt idx="3">
                  <c:v>Nu intenționează să plece</c:v>
                </c:pt>
                <c:pt idx="4">
                  <c:v>Alt răspuns</c:v>
                </c:pt>
              </c:strCache>
            </c:strRef>
          </c:cat>
          <c:val>
            <c:numRef>
              <c:f>Sheet1!$C$4:$G$4</c:f>
              <c:numCache>
                <c:formatCode>0.00%</c:formatCode>
                <c:ptCount val="5"/>
                <c:pt idx="0">
                  <c:v>0.31129999999999997</c:v>
                </c:pt>
                <c:pt idx="1">
                  <c:v>0.11849999999999999</c:v>
                </c:pt>
                <c:pt idx="2">
                  <c:v>0.1482</c:v>
                </c:pt>
                <c:pt idx="3">
                  <c:v>0.23699999999999999</c:v>
                </c:pt>
                <c:pt idx="4">
                  <c:v>0.185</c:v>
                </c:pt>
              </c:numCache>
            </c:numRef>
          </c:val>
        </c:ser>
        <c:firstSliceAng val="0"/>
      </c:pieChart>
      <c:spPr>
        <a:noFill/>
        <a:ln w="25400">
          <a:noFill/>
        </a:ln>
      </c:spPr>
    </c:plotArea>
    <c:legend>
      <c:legendPos val="r"/>
      <c:layout>
        <c:manualLayout>
          <c:xMode val="edge"/>
          <c:yMode val="edge"/>
          <c:x val="0.57009403606693365"/>
          <c:y val="0.26250120163513929"/>
          <c:w val="0.38940849458123888"/>
          <c:h val="0.69062816144483075"/>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50" b="1" i="0" u="none" strike="noStrike" baseline="0">
                <a:solidFill>
                  <a:srgbClr val="000000"/>
                </a:solidFill>
                <a:latin typeface="Arial"/>
                <a:ea typeface="Arial"/>
                <a:cs typeface="Arial"/>
              </a:defRPr>
            </a:pPr>
            <a:r>
              <a:rPr lang="vi-VN"/>
              <a:t>6.Consideri că imigranții reprezintă un pericol pentru siguranța cetățenilor?</a:t>
            </a:r>
          </a:p>
        </c:rich>
      </c:tx>
      <c:layout>
        <c:manualLayout>
          <c:xMode val="edge"/>
          <c:yMode val="edge"/>
          <c:x val="0.13668086963938786"/>
          <c:y val="4.0625185967342964E-2"/>
        </c:manualLayout>
      </c:layout>
      <c:spPr>
        <a:noFill/>
        <a:ln w="25400">
          <a:noFill/>
        </a:ln>
      </c:spPr>
    </c:title>
    <c:plotArea>
      <c:layout>
        <c:manualLayout>
          <c:layoutTarget val="inner"/>
          <c:xMode val="edge"/>
          <c:yMode val="edge"/>
          <c:x val="0.20362660170765962"/>
          <c:y val="0.36875168801126718"/>
          <c:w val="0.26778292827308681"/>
          <c:h val="0.6000027465946045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Sheet1!$C$2:$E$2</c:f>
              <c:strCache>
                <c:ptCount val="3"/>
                <c:pt idx="0">
                  <c:v>DA</c:v>
                </c:pt>
                <c:pt idx="1">
                  <c:v>NU</c:v>
                </c:pt>
                <c:pt idx="2">
                  <c:v>Poate / Nu știu</c:v>
                </c:pt>
              </c:strCache>
            </c:strRef>
          </c:cat>
          <c:val>
            <c:numRef>
              <c:f>Sheet1!$C$3:$E$3</c:f>
              <c:numCache>
                <c:formatCode>0.00%</c:formatCode>
                <c:ptCount val="3"/>
                <c:pt idx="0">
                  <c:v>0.24600000000000002</c:v>
                </c:pt>
                <c:pt idx="1">
                  <c:v>0.26300000000000001</c:v>
                </c:pt>
                <c:pt idx="2">
                  <c:v>0.49099999999999999</c:v>
                </c:pt>
              </c:numCache>
            </c:numRef>
          </c:val>
        </c:ser>
        <c:firstSliceAng val="0"/>
      </c:pieChart>
      <c:spPr>
        <a:noFill/>
        <a:ln w="25400">
          <a:noFill/>
        </a:ln>
      </c:spPr>
    </c:plotArea>
    <c:legend>
      <c:legendPos val="r"/>
      <c:layout>
        <c:manualLayout>
          <c:xMode val="edge"/>
          <c:yMode val="edge"/>
          <c:x val="0.61366921062582425"/>
          <c:y val="0.4218769311993314"/>
          <c:w val="0.27615114478162039"/>
          <c:h val="0.48125220299775562"/>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30" b="1" i="0" u="none" strike="noStrike" baseline="0">
                <a:solidFill>
                  <a:srgbClr val="000000"/>
                </a:solidFill>
                <a:latin typeface="Arial"/>
                <a:ea typeface="Arial"/>
                <a:cs typeface="Arial"/>
              </a:defRPr>
            </a:pPr>
            <a:r>
              <a:rPr lang="ro-RO"/>
              <a:t>STRUCTURA PE VÂRSTE</a:t>
            </a:r>
          </a:p>
        </c:rich>
      </c:tx>
      <c:layout>
        <c:manualLayout>
          <c:xMode val="edge"/>
          <c:yMode val="edge"/>
          <c:x val="0.25823229033361594"/>
          <c:y val="4.049865797998041E-2"/>
        </c:manualLayout>
      </c:layout>
      <c:spPr>
        <a:noFill/>
        <a:ln w="25400">
          <a:noFill/>
        </a:ln>
      </c:spPr>
    </c:title>
    <c:plotArea>
      <c:layout>
        <c:manualLayout>
          <c:layoutTarget val="inner"/>
          <c:xMode val="edge"/>
          <c:yMode val="edge"/>
          <c:x val="0.17850956982793598"/>
          <c:y val="0.27726004309371172"/>
          <c:w val="0.36395155013462666"/>
          <c:h val="0.6542090904458370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ro-RO"/>
              </a:p>
            </c:txPr>
            <c:dLblPos val="ctr"/>
            <c:showPercent val="1"/>
          </c:dLbls>
          <c:cat>
            <c:strRef>
              <c:f>Sheet1!$C$3:$F$3</c:f>
              <c:strCache>
                <c:ptCount val="4"/>
                <c:pt idx="0">
                  <c:v>&lt;20</c:v>
                </c:pt>
                <c:pt idx="1">
                  <c:v>20-39</c:v>
                </c:pt>
                <c:pt idx="2">
                  <c:v>40-60</c:v>
                </c:pt>
                <c:pt idx="3">
                  <c:v>&gt;60</c:v>
                </c:pt>
              </c:strCache>
            </c:strRef>
          </c:cat>
          <c:val>
            <c:numRef>
              <c:f>Sheet1!$C$4:$F$4</c:f>
              <c:numCache>
                <c:formatCode>0.00%</c:formatCode>
                <c:ptCount val="4"/>
                <c:pt idx="0">
                  <c:v>0.73</c:v>
                </c:pt>
                <c:pt idx="1">
                  <c:v>0.15</c:v>
                </c:pt>
                <c:pt idx="2" formatCode="0%">
                  <c:v>0.08</c:v>
                </c:pt>
                <c:pt idx="3">
                  <c:v>0.04</c:v>
                </c:pt>
              </c:numCache>
            </c:numRef>
          </c:val>
        </c:ser>
        <c:firstSliceAng val="0"/>
      </c:pieChart>
      <c:spPr>
        <a:noFill/>
        <a:ln w="25400">
          <a:noFill/>
        </a:ln>
      </c:spPr>
    </c:plotArea>
    <c:legend>
      <c:legendPos val="r"/>
      <c:layout>
        <c:manualLayout>
          <c:xMode val="edge"/>
          <c:yMode val="edge"/>
          <c:x val="0.67937622691796939"/>
          <c:y val="0.26168363617833451"/>
          <c:w val="0.13864820957509594"/>
          <c:h val="0.68224662289351579"/>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25" b="1" i="0" u="none" strike="noStrike" baseline="0">
                <a:solidFill>
                  <a:srgbClr val="000000"/>
                </a:solidFill>
                <a:latin typeface="Arial"/>
                <a:ea typeface="Arial"/>
                <a:cs typeface="Arial"/>
              </a:defRPr>
            </a:pPr>
            <a:r>
              <a:rPr lang="ro-RO"/>
              <a:t>Structura pe sexe</a:t>
            </a:r>
          </a:p>
        </c:rich>
      </c:tx>
      <c:layout>
        <c:manualLayout>
          <c:xMode val="edge"/>
          <c:yMode val="edge"/>
          <c:x val="0.35096188174700804"/>
          <c:y val="4.0625185967342964E-2"/>
        </c:manualLayout>
      </c:layout>
      <c:spPr>
        <a:noFill/>
        <a:ln w="25400">
          <a:noFill/>
        </a:ln>
      </c:spPr>
    </c:title>
    <c:plotArea>
      <c:layout>
        <c:manualLayout>
          <c:layoutTarget val="inner"/>
          <c:xMode val="edge"/>
          <c:yMode val="edge"/>
          <c:x val="0.15384630432745569"/>
          <c:y val="0.20625094414189529"/>
          <c:w val="0.3669875384477847"/>
          <c:h val="0.7156282758862726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layout>
                <c:manualLayout>
                  <c:x val="-0.11485042735042734"/>
                  <c:y val="-2.0833333333333332E-2"/>
                </c:manualLayout>
              </c:layout>
              <c:dLblPos val="outEnd"/>
              <c:showPercent val="1"/>
            </c:dLbl>
            <c:dLbl>
              <c:idx val="1"/>
              <c:layout>
                <c:manualLayout>
                  <c:x val="0.12286324786324784"/>
                  <c:y val="2.0833333333333332E-2"/>
                </c:manualLayout>
              </c:layout>
              <c:dLblPos val="outEnd"/>
              <c:showPercent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ro-RO"/>
              </a:p>
            </c:txPr>
            <c:dLblPos val="outEnd"/>
            <c:showPercent val="1"/>
          </c:dLbls>
          <c:cat>
            <c:strRef>
              <c:f>Sheet1!$C$2:$D$2</c:f>
              <c:strCache>
                <c:ptCount val="2"/>
                <c:pt idx="0">
                  <c:v>Feminin</c:v>
                </c:pt>
                <c:pt idx="1">
                  <c:v>Masculin</c:v>
                </c:pt>
              </c:strCache>
            </c:strRef>
          </c:cat>
          <c:val>
            <c:numRef>
              <c:f>Sheet1!$C$3:$D$3</c:f>
              <c:numCache>
                <c:formatCode>0.00%</c:formatCode>
                <c:ptCount val="2"/>
                <c:pt idx="0">
                  <c:v>0.59599999999999997</c:v>
                </c:pt>
                <c:pt idx="1">
                  <c:v>0.40399999999999997</c:v>
                </c:pt>
              </c:numCache>
            </c:numRef>
          </c:val>
        </c:ser>
        <c:firstSliceAng val="0"/>
      </c:pieChart>
      <c:spPr>
        <a:noFill/>
        <a:ln w="25400">
          <a:noFill/>
        </a:ln>
      </c:spPr>
    </c:plotArea>
    <c:legend>
      <c:legendPos val="r"/>
      <c:layout>
        <c:manualLayout>
          <c:xMode val="edge"/>
          <c:yMode val="edge"/>
          <c:x val="0.6554493590617636"/>
          <c:y val="0.37812673092680804"/>
          <c:w val="0.20512840576994071"/>
          <c:h val="0.32500148773874427"/>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332</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10</cp:revision>
  <dcterms:created xsi:type="dcterms:W3CDTF">2016-10-09T09:21:00Z</dcterms:created>
  <dcterms:modified xsi:type="dcterms:W3CDTF">2016-10-09T09:46:00Z</dcterms:modified>
</cp:coreProperties>
</file>